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spacing w:line="360" w:lineRule="atLeast"/>
        <w:ind w:left="0" w:right="0" w:firstLine="0"/>
        <w:jc w:val="left"/>
        <w:rPr>
          <w:rFonts w:ascii="Helvetica" w:cs="Helvetica" w:hAnsi="Helvetica" w:eastAsia="Helvetica"/>
          <w:sz w:val="32"/>
          <w:szCs w:val="32"/>
          <w:u w:val="none"/>
          <w:shd w:val="clear" w:color="auto" w:fill="ffffff"/>
          <w:rtl w:val="0"/>
        </w:rPr>
      </w:pPr>
      <w:r>
        <w:rPr>
          <w:rFonts w:ascii="Helvetica" w:hAnsi="Helvetica"/>
          <w:sz w:val="32"/>
          <w:szCs w:val="32"/>
          <w:u w:val="single"/>
          <w:shd w:val="clear" w:color="auto" w:fill="ffffff"/>
          <w:rtl w:val="0"/>
          <w:lang w:val="en-US"/>
        </w:rPr>
        <w:t>October Best Practices:</w:t>
      </w:r>
    </w:p>
    <w:p>
      <w:pPr>
        <w:pStyle w:val="Default"/>
        <w:numPr>
          <w:ilvl w:val="0"/>
          <w:numId w:val="2"/>
        </w:numPr>
        <w:bidi w:val="0"/>
        <w:spacing w:line="360" w:lineRule="atLeast"/>
        <w:ind w:right="0"/>
        <w:jc w:val="left"/>
        <w:rPr>
          <w:rFonts w:ascii="Helvetica" w:hAnsi="Helvetica"/>
          <w:sz w:val="32"/>
          <w:szCs w:val="32"/>
          <w:shd w:val="clear" w:color="auto" w:fill="ffffff"/>
          <w:rtl w:val="0"/>
          <w:lang w:val="en-US"/>
        </w:rPr>
      </w:pPr>
      <w:r>
        <w:rPr>
          <w:rFonts w:ascii="Helvetica" w:hAnsi="Helvetica"/>
          <w:sz w:val="32"/>
          <w:szCs w:val="32"/>
          <w:shd w:val="clear" w:color="auto" w:fill="ffffff"/>
          <w:rtl w:val="0"/>
          <w:lang w:val="en-US"/>
        </w:rPr>
        <w:t>Make sure all of your elected officers are trained, and at least one of your elected officers has attended PTA and the Law.</w:t>
      </w:r>
    </w:p>
    <w:p>
      <w:pPr>
        <w:pStyle w:val="Default"/>
        <w:numPr>
          <w:ilvl w:val="0"/>
          <w:numId w:val="2"/>
        </w:numPr>
        <w:bidi w:val="0"/>
        <w:spacing w:line="360" w:lineRule="atLeast"/>
        <w:ind w:right="0"/>
        <w:jc w:val="left"/>
        <w:rPr>
          <w:rFonts w:ascii="Helvetica" w:hAnsi="Helvetica"/>
          <w:sz w:val="32"/>
          <w:szCs w:val="32"/>
          <w:shd w:val="clear" w:color="auto" w:fill="ffffff"/>
          <w:rtl w:val="0"/>
          <w:lang w:val="en-US"/>
        </w:rPr>
      </w:pPr>
      <w:r>
        <w:rPr>
          <w:rFonts w:ascii="Helvetica" w:hAnsi="Helvetica"/>
          <w:sz w:val="32"/>
          <w:szCs w:val="32"/>
          <w:shd w:val="clear" w:color="auto" w:fill="ffffff"/>
          <w:rtl w:val="0"/>
          <w:lang w:val="en-US"/>
        </w:rPr>
        <w:t>Print these documents from the WSPTA website and become familiar with them. They will help remind you of the items you need to gather and complete to keep your PTA in good standing, and will help you keep your timeline on track.</w:t>
      </w:r>
    </w:p>
    <w:p>
      <w:pPr>
        <w:pStyle w:val="Default"/>
        <w:numPr>
          <w:ilvl w:val="1"/>
          <w:numId w:val="2"/>
        </w:numPr>
        <w:bidi w:val="0"/>
        <w:spacing w:line="360" w:lineRule="atLeast"/>
        <w:ind w:right="0"/>
        <w:jc w:val="left"/>
        <w:rPr>
          <w:rFonts w:ascii="Helvetica" w:hAnsi="Helvetica"/>
          <w:sz w:val="32"/>
          <w:szCs w:val="32"/>
          <w:shd w:val="clear" w:color="auto" w:fill="ffffff"/>
          <w:rtl w:val="0"/>
          <w:lang w:val="en-US"/>
        </w:rPr>
      </w:pPr>
      <w:r>
        <w:rPr>
          <w:rFonts w:ascii="Helvetica" w:hAnsi="Helvetica"/>
          <w:sz w:val="32"/>
          <w:szCs w:val="32"/>
          <w:shd w:val="clear" w:color="auto" w:fill="ffffff"/>
          <w:rtl w:val="0"/>
          <w:lang w:val="en-US"/>
        </w:rPr>
        <w:t>Standards of Affiliation Agreement</w:t>
      </w:r>
      <w:r>
        <w:rPr>
          <w:rFonts w:ascii="Helvetica" w:hAnsi="Helvetica" w:hint="default"/>
          <w:sz w:val="32"/>
          <w:szCs w:val="32"/>
          <w:shd w:val="clear" w:color="auto" w:fill="ffffff"/>
          <w:rtl w:val="0"/>
        </w:rPr>
        <w:t>  </w:t>
      </w:r>
    </w:p>
    <w:p>
      <w:pPr>
        <w:pStyle w:val="Default"/>
        <w:numPr>
          <w:ilvl w:val="2"/>
          <w:numId w:val="2"/>
        </w:numPr>
        <w:bidi w:val="0"/>
        <w:spacing w:line="360" w:lineRule="atLeast"/>
        <w:ind w:right="0"/>
        <w:jc w:val="left"/>
        <w:rPr>
          <w:rFonts w:ascii="Helvetica" w:hAnsi="Helvetica"/>
          <w:color w:val="1155cc"/>
          <w:sz w:val="32"/>
          <w:szCs w:val="32"/>
          <w:u w:val="single"/>
          <w:shd w:val="clear" w:color="auto" w:fill="ffffff"/>
          <w:rtl w:val="0"/>
          <w:lang w:val="en-US"/>
        </w:rPr>
      </w:pPr>
      <w:r>
        <w:rPr>
          <w:rFonts w:ascii="Helvetica" w:hAnsi="Helvetica"/>
          <w:color w:val="000000"/>
          <w:sz w:val="32"/>
          <w:szCs w:val="32"/>
          <w:u w:val="none"/>
          <w:shd w:val="clear" w:color="auto" w:fill="ffffff"/>
          <w:rtl w:val="0"/>
          <w:lang w:val="en-US"/>
        </w:rPr>
        <w:t>find the checklist here</w:t>
      </w:r>
      <w:r>
        <w:rPr>
          <w:rFonts w:ascii="Helvetica" w:hAnsi="Helvetica" w:hint="default"/>
          <w:color w:val="000000"/>
          <w:sz w:val="32"/>
          <w:szCs w:val="32"/>
          <w:u w:val="none"/>
          <w:shd w:val="clear" w:color="auto" w:fill="ffffff"/>
          <w:rtl w:val="0"/>
        </w:rPr>
        <w:t> </w:t>
      </w:r>
      <w:r>
        <w:rPr>
          <w:rStyle w:val="Hyperlink.0"/>
          <w:rFonts w:ascii="Helvetica" w:cs="Helvetica" w:hAnsi="Helvetica" w:eastAsia="Helvetica"/>
          <w:color w:val="1155cc"/>
          <w:sz w:val="32"/>
          <w:szCs w:val="32"/>
          <w:u w:val="single"/>
          <w:shd w:val="clear" w:color="auto" w:fill="ffffff"/>
          <w:rtl w:val="0"/>
        </w:rPr>
        <w:fldChar w:fldCharType="begin" w:fldLock="0"/>
      </w:r>
      <w:r>
        <w:rPr>
          <w:rStyle w:val="Hyperlink.0"/>
          <w:rFonts w:ascii="Helvetica" w:cs="Helvetica" w:hAnsi="Helvetica" w:eastAsia="Helvetica"/>
          <w:color w:val="1155cc"/>
          <w:sz w:val="32"/>
          <w:szCs w:val="32"/>
          <w:u w:val="single"/>
          <w:shd w:val="clear" w:color="auto" w:fill="ffffff"/>
          <w:rtl w:val="0"/>
        </w:rPr>
        <w:instrText xml:space="preserve"> HYPERLINK "https://www.wastatepta.org/wp-content/uploads/2018/08/2018-19-SOA-Agreement-Checklist.pdf"</w:instrText>
      </w:r>
      <w:r>
        <w:rPr>
          <w:rStyle w:val="Hyperlink.0"/>
          <w:rFonts w:ascii="Helvetica" w:cs="Helvetica" w:hAnsi="Helvetica" w:eastAsia="Helvetica"/>
          <w:color w:val="1155cc"/>
          <w:sz w:val="32"/>
          <w:szCs w:val="32"/>
          <w:u w:val="single"/>
          <w:shd w:val="clear" w:color="auto" w:fill="ffffff"/>
          <w:rtl w:val="0"/>
        </w:rPr>
        <w:fldChar w:fldCharType="separate" w:fldLock="0"/>
      </w:r>
      <w:r>
        <w:rPr>
          <w:rStyle w:val="Hyperlink.0"/>
          <w:rFonts w:ascii="Helvetica" w:hAnsi="Helvetica"/>
          <w:color w:val="1155cc"/>
          <w:sz w:val="32"/>
          <w:szCs w:val="32"/>
          <w:u w:val="single"/>
          <w:shd w:val="clear" w:color="auto" w:fill="ffffff"/>
          <w:rtl w:val="0"/>
          <w:lang w:val="en-US"/>
        </w:rPr>
        <w:t>https://www.wastatepta.org/wp-content/uploads/2018/08/2018-19-SOA-Agreement-Checklist.pdf</w:t>
      </w:r>
      <w:r>
        <w:rPr>
          <w:rFonts w:ascii="Helvetica" w:cs="Helvetica" w:hAnsi="Helvetica" w:eastAsia="Helvetica"/>
          <w:color w:val="1155cc"/>
          <w:sz w:val="32"/>
          <w:szCs w:val="32"/>
          <w:u w:val="single"/>
          <w:shd w:val="clear" w:color="auto" w:fill="ffffff"/>
          <w:rtl w:val="0"/>
        </w:rPr>
        <w:fldChar w:fldCharType="end" w:fldLock="0"/>
      </w:r>
    </w:p>
    <w:p>
      <w:pPr>
        <w:pStyle w:val="Default"/>
        <w:numPr>
          <w:ilvl w:val="1"/>
          <w:numId w:val="2"/>
        </w:numPr>
        <w:bidi w:val="0"/>
        <w:spacing w:line="360" w:lineRule="atLeast"/>
        <w:ind w:right="0"/>
        <w:jc w:val="left"/>
        <w:rPr>
          <w:rFonts w:ascii="Helvetica" w:hAnsi="Helvetica"/>
          <w:sz w:val="32"/>
          <w:szCs w:val="32"/>
          <w:shd w:val="clear" w:color="auto" w:fill="ffffff"/>
          <w:rtl w:val="0"/>
          <w:lang w:val="en-US"/>
        </w:rPr>
      </w:pPr>
      <w:r>
        <w:rPr>
          <w:rFonts w:ascii="Helvetica" w:hAnsi="Helvetica"/>
          <w:sz w:val="32"/>
          <w:szCs w:val="32"/>
          <w:shd w:val="clear" w:color="auto" w:fill="ffffff"/>
          <w:rtl w:val="0"/>
          <w:lang w:val="en-US"/>
        </w:rPr>
        <w:t>Standards of Excellence Best Practices Timeline</w:t>
      </w:r>
      <w:r>
        <w:rPr>
          <w:rFonts w:ascii="Helvetica" w:hAnsi="Helvetica" w:hint="default"/>
          <w:sz w:val="32"/>
          <w:szCs w:val="32"/>
          <w:shd w:val="clear" w:color="auto" w:fill="ffffff"/>
          <w:rtl w:val="0"/>
        </w:rPr>
        <w:t> </w:t>
      </w:r>
    </w:p>
    <w:p>
      <w:pPr>
        <w:pStyle w:val="Default"/>
        <w:numPr>
          <w:ilvl w:val="2"/>
          <w:numId w:val="2"/>
        </w:numPr>
        <w:bidi w:val="0"/>
        <w:spacing w:line="360" w:lineRule="atLeast"/>
        <w:ind w:right="0"/>
        <w:jc w:val="left"/>
        <w:rPr>
          <w:rFonts w:ascii="Helvetica" w:hAnsi="Helvetica"/>
          <w:color w:val="1155cc"/>
          <w:sz w:val="32"/>
          <w:szCs w:val="32"/>
          <w:u w:val="single"/>
          <w:shd w:val="clear" w:color="auto" w:fill="ffffff"/>
          <w:rtl w:val="0"/>
          <w:lang w:val="en-US"/>
        </w:rPr>
      </w:pPr>
      <w:r>
        <w:rPr>
          <w:rFonts w:ascii="Helvetica" w:hAnsi="Helvetica"/>
          <w:color w:val="000000"/>
          <w:sz w:val="32"/>
          <w:szCs w:val="32"/>
          <w:u w:val="none"/>
          <w:shd w:val="clear" w:color="auto" w:fill="ffffff"/>
          <w:rtl w:val="0"/>
          <w:lang w:val="en-US"/>
        </w:rPr>
        <w:t>find the checklist here</w:t>
      </w:r>
      <w:r>
        <w:rPr>
          <w:rFonts w:ascii="Helvetica" w:hAnsi="Helvetica" w:hint="default"/>
          <w:color w:val="000000"/>
          <w:sz w:val="32"/>
          <w:szCs w:val="32"/>
          <w:u w:val="none"/>
          <w:shd w:val="clear" w:color="auto" w:fill="ffffff"/>
          <w:rtl w:val="0"/>
        </w:rPr>
        <w:t> </w:t>
      </w:r>
      <w:r>
        <w:rPr>
          <w:rStyle w:val="Hyperlink.0"/>
          <w:rFonts w:ascii="Helvetica" w:cs="Helvetica" w:hAnsi="Helvetica" w:eastAsia="Helvetica"/>
          <w:color w:val="1155cc"/>
          <w:sz w:val="32"/>
          <w:szCs w:val="32"/>
          <w:u w:val="single"/>
          <w:shd w:val="clear" w:color="auto" w:fill="ffffff"/>
          <w:rtl w:val="0"/>
        </w:rPr>
        <w:fldChar w:fldCharType="begin" w:fldLock="0"/>
      </w:r>
      <w:r>
        <w:rPr>
          <w:rStyle w:val="Hyperlink.0"/>
          <w:rFonts w:ascii="Helvetica" w:cs="Helvetica" w:hAnsi="Helvetica" w:eastAsia="Helvetica"/>
          <w:color w:val="1155cc"/>
          <w:sz w:val="32"/>
          <w:szCs w:val="32"/>
          <w:u w:val="single"/>
          <w:shd w:val="clear" w:color="auto" w:fill="ffffff"/>
          <w:rtl w:val="0"/>
        </w:rPr>
        <w:instrText xml:space="preserve"> HYPERLINK "http://www.wastatepta.org/wp-content/uploads/2017/01/SOE-Best-Practices-Timeline.pdf"</w:instrText>
      </w:r>
      <w:r>
        <w:rPr>
          <w:rStyle w:val="Hyperlink.0"/>
          <w:rFonts w:ascii="Helvetica" w:cs="Helvetica" w:hAnsi="Helvetica" w:eastAsia="Helvetica"/>
          <w:color w:val="1155cc"/>
          <w:sz w:val="32"/>
          <w:szCs w:val="32"/>
          <w:u w:val="single"/>
          <w:shd w:val="clear" w:color="auto" w:fill="ffffff"/>
          <w:rtl w:val="0"/>
        </w:rPr>
        <w:fldChar w:fldCharType="separate" w:fldLock="0"/>
      </w:r>
      <w:r>
        <w:rPr>
          <w:rStyle w:val="Hyperlink.0"/>
          <w:rFonts w:ascii="Helvetica" w:hAnsi="Helvetica"/>
          <w:color w:val="1155cc"/>
          <w:sz w:val="32"/>
          <w:szCs w:val="32"/>
          <w:u w:val="single"/>
          <w:shd w:val="clear" w:color="auto" w:fill="ffffff"/>
          <w:rtl w:val="0"/>
          <w:lang w:val="en-US"/>
        </w:rPr>
        <w:t>http://www.wastatepta.org/wp-content/uploads/2017/01/SOE-Best-Practices-Timeline.pdf</w:t>
      </w:r>
      <w:r>
        <w:rPr>
          <w:rFonts w:ascii="Helvetica" w:cs="Helvetica" w:hAnsi="Helvetica" w:eastAsia="Helvetica"/>
          <w:color w:val="1155cc"/>
          <w:sz w:val="32"/>
          <w:szCs w:val="32"/>
          <w:u w:val="single"/>
          <w:shd w:val="clear" w:color="auto" w:fill="ffffff"/>
          <w:rtl w:val="0"/>
        </w:rPr>
        <w:fldChar w:fldCharType="end" w:fldLock="0"/>
      </w:r>
      <w:r>
        <w:rPr>
          <w:rFonts w:ascii="Helvetica" w:cs="Helvetica" w:hAnsi="Helvetica" w:eastAsia="Helvetica"/>
          <w:color w:val="000000"/>
          <w:sz w:val="32"/>
          <w:szCs w:val="32"/>
          <w:u w:val="none"/>
          <w:shd w:val="clear" w:color="auto" w:fill="ffffff"/>
          <w:rtl w:val="0"/>
        </w:rPr>
        <w:br w:type="textWrapping"/>
      </w:r>
    </w:p>
    <w:p>
      <w:pPr>
        <w:pStyle w:val="Default"/>
        <w:numPr>
          <w:ilvl w:val="0"/>
          <w:numId w:val="2"/>
        </w:numPr>
        <w:bidi w:val="0"/>
        <w:spacing w:line="360" w:lineRule="atLeast"/>
        <w:ind w:right="0"/>
        <w:jc w:val="left"/>
        <w:rPr>
          <w:rFonts w:ascii="Helvetica" w:hAnsi="Helvetica"/>
          <w:sz w:val="32"/>
          <w:szCs w:val="32"/>
          <w:shd w:val="clear" w:color="auto" w:fill="ffffff"/>
          <w:rtl w:val="0"/>
          <w:lang w:val="en-US"/>
        </w:rPr>
      </w:pPr>
      <w:r>
        <w:rPr>
          <w:rFonts w:ascii="Helvetica" w:hAnsi="Helvetica"/>
          <w:sz w:val="32"/>
          <w:szCs w:val="32"/>
          <w:shd w:val="clear" w:color="auto" w:fill="ffffff"/>
          <w:rtl w:val="0"/>
          <w:lang w:val="en-US"/>
        </w:rPr>
        <w:t>Standards of Affiliation - This sheet should be filled in and complete by the end of November, with the possible exception of your PTA's corporate renewal, which will be filed during the month that your PTA was first incorporated.</w:t>
      </w:r>
      <w:r>
        <w:rPr>
          <w:rFonts w:ascii="Helvetica" w:hAnsi="Helvetica" w:hint="default"/>
          <w:sz w:val="32"/>
          <w:szCs w:val="32"/>
          <w:shd w:val="clear" w:color="auto" w:fill="ffffff"/>
          <w:rtl w:val="0"/>
        </w:rPr>
        <w:t> </w:t>
      </w:r>
    </w:p>
    <w:p>
      <w:pPr>
        <w:pStyle w:val="Default"/>
        <w:numPr>
          <w:ilvl w:val="0"/>
          <w:numId w:val="2"/>
        </w:numPr>
        <w:bidi w:val="0"/>
        <w:spacing w:line="360" w:lineRule="atLeast"/>
        <w:ind w:right="0"/>
        <w:jc w:val="left"/>
        <w:rPr>
          <w:rFonts w:ascii="Helvetica" w:hAnsi="Helvetica"/>
          <w:sz w:val="32"/>
          <w:szCs w:val="32"/>
          <w:shd w:val="clear" w:color="auto" w:fill="ffffff"/>
          <w:rtl w:val="0"/>
          <w:lang w:val="en-US"/>
        </w:rPr>
      </w:pPr>
      <w:r>
        <w:rPr>
          <w:rFonts w:ascii="Helvetica" w:hAnsi="Helvetica"/>
          <w:sz w:val="32"/>
          <w:szCs w:val="32"/>
          <w:shd w:val="clear" w:color="auto" w:fill="ffffff"/>
          <w:rtl w:val="0"/>
          <w:lang w:val="en-US"/>
        </w:rPr>
        <w:t>Standards of Excellence - Show your membership that your PTA is following best practices by applying for the Standards of Excellence Award (due March 1st). Refer to the timeline checklist each month to see what your PTA should be doing during this time, and gather/create documents as you go. If you put your notebook together a bit at a time over the course of the year, it's quick and EASY!</w:t>
      </w:r>
    </w:p>
    <w:p>
      <w:pPr>
        <w:pStyle w:val="Default"/>
        <w:numPr>
          <w:ilvl w:val="0"/>
          <w:numId w:val="2"/>
        </w:numPr>
        <w:bidi w:val="0"/>
        <w:spacing w:line="360" w:lineRule="atLeast"/>
        <w:ind w:right="0"/>
        <w:jc w:val="left"/>
        <w:rPr>
          <w:rFonts w:ascii="Helvetica" w:hAnsi="Helvetica"/>
          <w:sz w:val="32"/>
          <w:szCs w:val="32"/>
          <w:shd w:val="clear" w:color="auto" w:fill="ffffff"/>
          <w:rtl w:val="0"/>
          <w:lang w:val="en-US"/>
        </w:rPr>
      </w:pPr>
      <w:r>
        <w:rPr>
          <w:rFonts w:ascii="Helvetica" w:hAnsi="Helvetica"/>
          <w:sz w:val="32"/>
          <w:szCs w:val="32"/>
          <w:shd w:val="clear" w:color="auto" w:fill="ffffff"/>
          <w:rtl w:val="0"/>
          <w:lang w:val="en-US"/>
        </w:rPr>
        <w:t>Make sure your voting delegates have been turned in to the Council secretary, and that you or one of your delegates is planning to attend each Council membership meeting.</w:t>
      </w:r>
    </w:p>
    <w:p>
      <w:pPr>
        <w:pStyle w:val="Default"/>
        <w:numPr>
          <w:ilvl w:val="0"/>
          <w:numId w:val="2"/>
        </w:numPr>
        <w:bidi w:val="0"/>
        <w:spacing w:line="360" w:lineRule="atLeast"/>
        <w:ind w:right="0"/>
        <w:jc w:val="left"/>
        <w:rPr>
          <w:rFonts w:ascii="Helvetica" w:hAnsi="Helvetica"/>
          <w:sz w:val="32"/>
          <w:szCs w:val="32"/>
          <w:shd w:val="clear" w:color="auto" w:fill="ffffff"/>
          <w:rtl w:val="0"/>
          <w:lang w:val="en-US"/>
        </w:rPr>
      </w:pPr>
      <w:r>
        <w:rPr>
          <w:rFonts w:ascii="Helvetica" w:hAnsi="Helvetica"/>
          <w:sz w:val="32"/>
          <w:szCs w:val="32"/>
          <w:shd w:val="clear" w:color="auto" w:fill="ffffff"/>
          <w:rtl w:val="0"/>
          <w:lang w:val="en-US"/>
        </w:rPr>
        <w:t>Register for Legislative Assembly here:</w:t>
      </w:r>
      <w:r>
        <w:rPr>
          <w:rFonts w:ascii="Helvetica" w:hAnsi="Helvetica" w:hint="default"/>
          <w:sz w:val="32"/>
          <w:szCs w:val="32"/>
          <w:shd w:val="clear" w:color="auto" w:fill="ffffff"/>
          <w:rtl w:val="0"/>
        </w:rPr>
        <w:t> </w:t>
      </w:r>
      <w:r>
        <w:rPr>
          <w:rStyle w:val="Hyperlink.1"/>
          <w:rFonts w:ascii="Helvetica" w:cs="Helvetica" w:hAnsi="Helvetica" w:eastAsia="Helvetica"/>
          <w:color w:val="1155cc"/>
          <w:sz w:val="32"/>
          <w:szCs w:val="32"/>
          <w:u w:val="single"/>
          <w:shd w:val="clear" w:color="auto" w:fill="ffffff"/>
          <w:rtl w:val="0"/>
        </w:rPr>
        <w:fldChar w:fldCharType="begin" w:fldLock="0"/>
      </w:r>
      <w:r>
        <w:rPr>
          <w:rStyle w:val="Hyperlink.1"/>
          <w:rFonts w:ascii="Helvetica" w:cs="Helvetica" w:hAnsi="Helvetica" w:eastAsia="Helvetica"/>
          <w:color w:val="1155cc"/>
          <w:sz w:val="32"/>
          <w:szCs w:val="32"/>
          <w:u w:val="single"/>
          <w:shd w:val="clear" w:color="auto" w:fill="ffffff"/>
          <w:rtl w:val="0"/>
        </w:rPr>
        <w:instrText xml:space="preserve"> HYPERLINK "https://www.pt-avenue.com/conference/"</w:instrText>
      </w:r>
      <w:r>
        <w:rPr>
          <w:rStyle w:val="Hyperlink.1"/>
          <w:rFonts w:ascii="Helvetica" w:cs="Helvetica" w:hAnsi="Helvetica" w:eastAsia="Helvetica"/>
          <w:color w:val="1155cc"/>
          <w:sz w:val="32"/>
          <w:szCs w:val="32"/>
          <w:u w:val="single"/>
          <w:shd w:val="clear" w:color="auto" w:fill="ffffff"/>
          <w:rtl w:val="0"/>
        </w:rPr>
        <w:fldChar w:fldCharType="separate" w:fldLock="0"/>
      </w:r>
      <w:r>
        <w:rPr>
          <w:rStyle w:val="Hyperlink.1"/>
          <w:rFonts w:ascii="Helvetica" w:hAnsi="Helvetica"/>
          <w:color w:val="1155cc"/>
          <w:sz w:val="32"/>
          <w:szCs w:val="32"/>
          <w:u w:val="single"/>
          <w:shd w:val="clear" w:color="auto" w:fill="ffffff"/>
          <w:rtl w:val="0"/>
          <w:lang w:val="en-US"/>
        </w:rPr>
        <w:t>https://www.pt-avenue.com/conference/</w:t>
      </w:r>
      <w:r>
        <w:rPr>
          <w:rFonts w:ascii="Helvetica" w:cs="Helvetica" w:hAnsi="Helvetica" w:eastAsia="Helvetica"/>
          <w:sz w:val="32"/>
          <w:szCs w:val="32"/>
          <w:shd w:val="clear" w:color="auto" w:fill="ffffff"/>
          <w:rtl w:val="0"/>
        </w:rPr>
        <w:fldChar w:fldCharType="end" w:fldLock="0"/>
      </w:r>
      <w:r>
        <w:rPr>
          <w:rFonts w:ascii="Helvetica" w:hAnsi="Helvetica" w:hint="default"/>
          <w:sz w:val="32"/>
          <w:szCs w:val="32"/>
          <w:shd w:val="clear" w:color="auto" w:fill="ffffff"/>
          <w:rtl w:val="0"/>
        </w:rPr>
        <w:t xml:space="preserve">  </w:t>
      </w:r>
      <w:r>
        <w:rPr>
          <w:rFonts w:ascii="Helvetica" w:hAnsi="Helvetica"/>
          <w:sz w:val="32"/>
          <w:szCs w:val="32"/>
          <w:shd w:val="clear" w:color="auto" w:fill="ffffff"/>
          <w:rtl w:val="0"/>
          <w:lang w:val="en-US"/>
        </w:rPr>
        <w:t>(October 21-22, Green River College, Auburn). Encourage your board members to attend. Make sure you have submitted the names of your PTA's voting delegates to WSPTA (due Oct. 12).</w:t>
      </w:r>
    </w:p>
    <w:p>
      <w:pPr>
        <w:pStyle w:val="Default"/>
        <w:numPr>
          <w:ilvl w:val="0"/>
          <w:numId w:val="2"/>
        </w:numPr>
        <w:bidi w:val="0"/>
        <w:spacing w:line="360" w:lineRule="atLeast"/>
        <w:ind w:right="0"/>
        <w:jc w:val="left"/>
        <w:rPr>
          <w:rFonts w:ascii="Helvetica" w:hAnsi="Helvetica"/>
          <w:sz w:val="32"/>
          <w:szCs w:val="32"/>
          <w:shd w:val="clear" w:color="auto" w:fill="ffffff"/>
          <w:rtl w:val="0"/>
          <w:lang w:val="en-US"/>
        </w:rPr>
      </w:pPr>
      <w:r>
        <w:rPr>
          <w:rFonts w:ascii="Helvetica" w:hAnsi="Helvetica"/>
          <w:sz w:val="32"/>
          <w:szCs w:val="32"/>
          <w:shd w:val="clear" w:color="auto" w:fill="ffffff"/>
          <w:rtl w:val="0"/>
          <w:lang w:val="en-US"/>
        </w:rPr>
        <w:t>Send the Legislative Principles, Issues and Resolutions Survey to your membership. Share the data with your Legislative Assembly delegate(s), so their vote will properly represent your membership at Leg. Assembly.</w:t>
      </w:r>
      <w:r>
        <w:rPr>
          <w:rFonts w:ascii="Helvetica" w:hAnsi="Helvetica" w:hint="default"/>
          <w:sz w:val="32"/>
          <w:szCs w:val="32"/>
          <w:shd w:val="clear" w:color="auto" w:fill="ffffff"/>
          <w:rtl w:val="0"/>
        </w:rPr>
        <w:t> </w:t>
      </w:r>
    </w:p>
    <w:p>
      <w:pPr>
        <w:pStyle w:val="Default"/>
        <w:numPr>
          <w:ilvl w:val="0"/>
          <w:numId w:val="2"/>
        </w:numPr>
        <w:bidi w:val="0"/>
        <w:spacing w:line="360" w:lineRule="atLeast"/>
        <w:ind w:right="0"/>
        <w:jc w:val="left"/>
        <w:rPr>
          <w:rFonts w:ascii="Helvetica" w:hAnsi="Helvetica"/>
          <w:sz w:val="32"/>
          <w:szCs w:val="32"/>
          <w:shd w:val="clear" w:color="auto" w:fill="ffffff"/>
          <w:rtl w:val="0"/>
          <w:lang w:val="en-US"/>
        </w:rPr>
      </w:pPr>
      <w:r>
        <w:rPr>
          <w:rFonts w:ascii="Helvetica" w:hAnsi="Helvetica"/>
          <w:sz w:val="32"/>
          <w:szCs w:val="32"/>
          <w:shd w:val="clear" w:color="auto" w:fill="ffffff"/>
          <w:rtl w:val="0"/>
          <w:lang w:val="en-US"/>
        </w:rPr>
        <w:t>Brand and Market your PTA! Educate EVERYONE in your school community (not</w:t>
      </w:r>
      <w:r>
        <w:rPr>
          <w:rFonts w:ascii="Helvetica" w:hAnsi="Helvetica" w:hint="default"/>
          <w:sz w:val="32"/>
          <w:szCs w:val="32"/>
          <w:shd w:val="clear" w:color="auto" w:fill="ffffff"/>
          <w:rtl w:val="0"/>
        </w:rPr>
        <w:t> </w:t>
      </w:r>
      <w:r>
        <w:rPr>
          <w:rStyle w:val="None"/>
          <w:rFonts w:ascii="Helvetica" w:hAnsi="Helvetica"/>
          <w:i w:val="1"/>
          <w:iCs w:val="1"/>
          <w:sz w:val="32"/>
          <w:szCs w:val="32"/>
          <w:shd w:val="clear" w:color="auto" w:fill="ffffff"/>
          <w:rtl w:val="0"/>
          <w:lang w:val="en-US"/>
        </w:rPr>
        <w:t>only</w:t>
      </w:r>
      <w:r>
        <w:rPr>
          <w:rFonts w:ascii="Helvetica" w:hAnsi="Helvetica" w:hint="default"/>
          <w:sz w:val="32"/>
          <w:szCs w:val="32"/>
          <w:shd w:val="clear" w:color="auto" w:fill="ffffff"/>
          <w:rtl w:val="0"/>
        </w:rPr>
        <w:t> </w:t>
      </w:r>
      <w:r>
        <w:rPr>
          <w:rFonts w:ascii="Helvetica" w:hAnsi="Helvetica"/>
          <w:sz w:val="32"/>
          <w:szCs w:val="32"/>
          <w:shd w:val="clear" w:color="auto" w:fill="ffffff"/>
          <w:rtl w:val="0"/>
          <w:lang w:val="en-US"/>
        </w:rPr>
        <w:t>your membership) about each and every program and event that your PTA supports. Show them how your PTA benefits your students. If you sponsored it, put a sticker on it! If you have an event, hang a banner! This is how you attract members and encourage donations.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b w:val="1"/>
        <w:bCs w:val="1"/>
        <w:sz w:val="32"/>
        <w:szCs w:val="32"/>
        <w:u w:val="single"/>
        <w:rtl w:val="0"/>
        <w:lang w:val="en-US"/>
      </w:rPr>
      <w:t>Issaquah PTSA Council 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color w:val="1155cc"/>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